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6EAAF" w14:textId="77777777" w:rsidR="00015B11" w:rsidRPr="00015B11" w:rsidRDefault="00015B11" w:rsidP="00015B11">
      <w:pPr>
        <w:spacing w:after="0" w:line="240" w:lineRule="auto"/>
        <w:jc w:val="center"/>
        <w:rPr>
          <w:rFonts w:ascii="Century Gothic" w:eastAsia="Century Gothic" w:hAnsi="Century Gothic" w:cs="Century Gothic"/>
          <w:sz w:val="20"/>
          <w:szCs w:val="20"/>
          <w:u w:val="single"/>
          <w:lang w:val="en-US"/>
        </w:rPr>
      </w:pPr>
      <w:r w:rsidRPr="00015B11">
        <w:rPr>
          <w:rFonts w:ascii="Century Gothic" w:eastAsia="Century Gothic" w:hAnsi="Century Gothic" w:cs="Century Gothic"/>
          <w:sz w:val="20"/>
          <w:szCs w:val="20"/>
          <w:u w:val="single"/>
          <w:lang w:val="en-US"/>
        </w:rPr>
        <w:t xml:space="preserve">It is the first shopping center in the country to be rated by </w:t>
      </w:r>
      <w:proofErr w:type="spellStart"/>
      <w:r w:rsidRPr="00015B11">
        <w:rPr>
          <w:rFonts w:ascii="Century Gothic" w:eastAsia="Century Gothic" w:hAnsi="Century Gothic" w:cs="Century Gothic"/>
          <w:sz w:val="20"/>
          <w:szCs w:val="20"/>
          <w:u w:val="single"/>
          <w:lang w:val="en-US"/>
        </w:rPr>
        <w:t>eCIRCULAR</w:t>
      </w:r>
      <w:proofErr w:type="spellEnd"/>
    </w:p>
    <w:p w14:paraId="0AC633D6" w14:textId="77777777" w:rsidR="00015B11" w:rsidRPr="00015B11" w:rsidRDefault="00015B11" w:rsidP="00015B11">
      <w:pPr>
        <w:spacing w:after="0" w:line="240" w:lineRule="auto"/>
        <w:jc w:val="center"/>
        <w:rPr>
          <w:rFonts w:ascii="Century Gothic" w:eastAsia="Century Gothic" w:hAnsi="Century Gothic" w:cs="Century Gothic"/>
          <w:sz w:val="20"/>
          <w:szCs w:val="20"/>
          <w:u w:val="single"/>
          <w:lang w:val="en-US"/>
        </w:rPr>
      </w:pPr>
    </w:p>
    <w:p w14:paraId="70BF60AC" w14:textId="77777777" w:rsidR="00015B11" w:rsidRPr="00015B11" w:rsidRDefault="00015B11" w:rsidP="00015B11">
      <w:pPr>
        <w:spacing w:after="0" w:line="240" w:lineRule="auto"/>
        <w:jc w:val="center"/>
        <w:rPr>
          <w:rFonts w:ascii="Century Gothic" w:eastAsia="Century Gothic" w:hAnsi="Century Gothic" w:cs="Century Gothic"/>
          <w:b/>
          <w:sz w:val="28"/>
          <w:szCs w:val="28"/>
        </w:rPr>
      </w:pPr>
      <w:r w:rsidRPr="00015B11">
        <w:rPr>
          <w:rFonts w:ascii="Century Gothic" w:eastAsia="Century Gothic" w:hAnsi="Century Gothic" w:cs="Century Gothic"/>
          <w:b/>
          <w:sz w:val="28"/>
          <w:szCs w:val="28"/>
        </w:rPr>
        <w:t xml:space="preserve">ALEGRO SETÚBAL RECEIVES </w:t>
      </w:r>
      <w:proofErr w:type="spellStart"/>
      <w:r w:rsidRPr="00015B11">
        <w:rPr>
          <w:rFonts w:ascii="Century Gothic" w:eastAsia="Century Gothic" w:hAnsi="Century Gothic" w:cs="Century Gothic"/>
          <w:b/>
          <w:sz w:val="28"/>
          <w:szCs w:val="28"/>
        </w:rPr>
        <w:t>eCIRCULAR</w:t>
      </w:r>
      <w:proofErr w:type="spellEnd"/>
      <w:r w:rsidRPr="00015B11">
        <w:rPr>
          <w:rFonts w:ascii="Century Gothic" w:eastAsia="Century Gothic" w:hAnsi="Century Gothic" w:cs="Century Gothic"/>
          <w:b/>
          <w:sz w:val="28"/>
          <w:szCs w:val="28"/>
        </w:rPr>
        <w:t xml:space="preserve"> RATING FROM ADENE</w:t>
      </w:r>
    </w:p>
    <w:p w14:paraId="78EC8EB5" w14:textId="77777777" w:rsidR="00015B11" w:rsidRPr="00015B11" w:rsidRDefault="00015B11" w:rsidP="00015B11">
      <w:pPr>
        <w:spacing w:after="0" w:line="240" w:lineRule="auto"/>
        <w:jc w:val="center"/>
        <w:rPr>
          <w:rFonts w:ascii="Century Gothic" w:eastAsia="Century Gothic" w:hAnsi="Century Gothic" w:cs="Century Gothic"/>
          <w:b/>
          <w:sz w:val="28"/>
          <w:szCs w:val="28"/>
        </w:rPr>
      </w:pPr>
    </w:p>
    <w:p w14:paraId="262BA912" w14:textId="77777777" w:rsidR="00015B11" w:rsidRPr="00015B11" w:rsidRDefault="00015B11" w:rsidP="00015B11">
      <w:pPr>
        <w:spacing w:after="0" w:line="240" w:lineRule="auto"/>
        <w:jc w:val="both"/>
        <w:rPr>
          <w:rFonts w:ascii="Century Gothic" w:eastAsia="Century Gothic" w:hAnsi="Century Gothic" w:cs="Century Gothic"/>
          <w:sz w:val="20"/>
          <w:szCs w:val="20"/>
          <w:lang w:val="en-US"/>
        </w:rPr>
      </w:pPr>
      <w:proofErr w:type="spellStart"/>
      <w:r w:rsidRPr="00015B11">
        <w:rPr>
          <w:rFonts w:ascii="Century Gothic" w:eastAsia="Century Gothic" w:hAnsi="Century Gothic" w:cs="Century Gothic"/>
          <w:sz w:val="20"/>
          <w:szCs w:val="20"/>
          <w:lang w:val="en-US"/>
        </w:rPr>
        <w:t>Nhood</w:t>
      </w:r>
      <w:proofErr w:type="spellEnd"/>
      <w:r w:rsidRPr="00015B11">
        <w:rPr>
          <w:rFonts w:ascii="Century Gothic" w:eastAsia="Century Gothic" w:hAnsi="Century Gothic" w:cs="Century Gothic"/>
          <w:sz w:val="20"/>
          <w:szCs w:val="20"/>
          <w:lang w:val="en-US"/>
        </w:rPr>
        <w:t>, the entity managing the Alegro shopping centers, has just announced that one of its managed assets, Alegro Setúbal, is the first shopping center in the country to receive the “</w:t>
      </w:r>
      <w:proofErr w:type="spellStart"/>
      <w:r w:rsidRPr="00015B11">
        <w:rPr>
          <w:rFonts w:ascii="Century Gothic" w:eastAsia="Century Gothic" w:hAnsi="Century Gothic" w:cs="Century Gothic"/>
          <w:sz w:val="20"/>
          <w:szCs w:val="20"/>
          <w:lang w:val="en-US"/>
        </w:rPr>
        <w:t>eCIRCULAR</w:t>
      </w:r>
      <w:proofErr w:type="spellEnd"/>
      <w:r w:rsidRPr="00015B11">
        <w:rPr>
          <w:rFonts w:ascii="Century Gothic" w:eastAsia="Century Gothic" w:hAnsi="Century Gothic" w:cs="Century Gothic"/>
          <w:sz w:val="20"/>
          <w:szCs w:val="20"/>
          <w:lang w:val="en-US"/>
        </w:rPr>
        <w:t xml:space="preserve">” rating awarded by ADENE – the Energy Agency. This rating enables the evaluation of performance and improvement of circular economy management practices in organizations. This recognition reflects </w:t>
      </w:r>
      <w:proofErr w:type="spellStart"/>
      <w:r w:rsidRPr="00015B11">
        <w:rPr>
          <w:rFonts w:ascii="Century Gothic" w:eastAsia="Century Gothic" w:hAnsi="Century Gothic" w:cs="Century Gothic"/>
          <w:sz w:val="20"/>
          <w:szCs w:val="20"/>
          <w:lang w:val="en-US"/>
        </w:rPr>
        <w:t>Nhood's</w:t>
      </w:r>
      <w:proofErr w:type="spellEnd"/>
      <w:r w:rsidRPr="00015B11">
        <w:rPr>
          <w:rFonts w:ascii="Century Gothic" w:eastAsia="Century Gothic" w:hAnsi="Century Gothic" w:cs="Century Gothic"/>
          <w:sz w:val="20"/>
          <w:szCs w:val="20"/>
          <w:lang w:val="en-US"/>
        </w:rPr>
        <w:t xml:space="preserve"> commitment to sustainability and efficient resource management.</w:t>
      </w:r>
    </w:p>
    <w:p w14:paraId="7401DFFE" w14:textId="77777777" w:rsidR="00015B11" w:rsidRPr="00015B11" w:rsidRDefault="00015B11" w:rsidP="00015B11">
      <w:pPr>
        <w:spacing w:after="0" w:line="240" w:lineRule="auto"/>
        <w:jc w:val="both"/>
        <w:rPr>
          <w:rFonts w:ascii="Century Gothic" w:eastAsia="Century Gothic" w:hAnsi="Century Gothic" w:cs="Century Gothic"/>
          <w:sz w:val="20"/>
          <w:szCs w:val="20"/>
          <w:lang w:val="en-US"/>
        </w:rPr>
      </w:pPr>
    </w:p>
    <w:p w14:paraId="06FB05EB" w14:textId="77777777" w:rsidR="00015B11" w:rsidRPr="00015B11" w:rsidRDefault="00015B11" w:rsidP="00015B11">
      <w:pPr>
        <w:spacing w:after="0" w:line="240" w:lineRule="auto"/>
        <w:jc w:val="both"/>
        <w:rPr>
          <w:rFonts w:ascii="Century Gothic" w:eastAsia="Century Gothic" w:hAnsi="Century Gothic" w:cs="Century Gothic"/>
          <w:sz w:val="20"/>
          <w:szCs w:val="20"/>
          <w:lang w:val="en-US"/>
        </w:rPr>
      </w:pPr>
      <w:r w:rsidRPr="00015B11">
        <w:rPr>
          <w:rFonts w:ascii="Century Gothic" w:eastAsia="Century Gothic" w:hAnsi="Century Gothic" w:cs="Century Gothic"/>
          <w:sz w:val="20"/>
          <w:szCs w:val="20"/>
          <w:lang w:val="en-US"/>
        </w:rPr>
        <w:t>The rating achieved shows Alegro Setúbal's performance in resource areas, such as self-consumption and energy management. Among the results obtained, the energy area received a 62% rating, driven by the installation of photovoltaic panels and the implementation of measures to reduce energy consumption. In water management, the center scored 53%, thanks to the rainwater harvesting system and advances in graywater reuse. Additionally, Alegro Setúbal achieved 80% in waste management, with initiatives such as proper waste routing, and 100% in sustainability certifications like ISO 14001, BREEAM, and Zero Waste. With an overall rating of 50%, this result is significant for the shopping center sector, reinforcing Alegro Setúbal's role as a model for sustainable and innovative practices.</w:t>
      </w:r>
    </w:p>
    <w:p w14:paraId="671EB88C" w14:textId="77777777" w:rsidR="00015B11" w:rsidRPr="00015B11" w:rsidRDefault="00015B11" w:rsidP="00015B11">
      <w:pPr>
        <w:spacing w:after="0" w:line="240" w:lineRule="auto"/>
        <w:jc w:val="both"/>
        <w:rPr>
          <w:rFonts w:ascii="Century Gothic" w:eastAsia="Century Gothic" w:hAnsi="Century Gothic" w:cs="Century Gothic"/>
          <w:sz w:val="20"/>
          <w:szCs w:val="20"/>
          <w:lang w:val="en-US"/>
        </w:rPr>
      </w:pPr>
    </w:p>
    <w:p w14:paraId="209ACB32" w14:textId="77777777" w:rsidR="00015B11" w:rsidRPr="00015B11" w:rsidRDefault="00015B11" w:rsidP="00015B11">
      <w:pPr>
        <w:spacing w:after="0" w:line="240" w:lineRule="auto"/>
        <w:jc w:val="both"/>
        <w:rPr>
          <w:rFonts w:ascii="Century Gothic" w:eastAsia="Century Gothic" w:hAnsi="Century Gothic" w:cs="Century Gothic"/>
          <w:sz w:val="20"/>
          <w:szCs w:val="20"/>
          <w:lang w:val="en-US"/>
        </w:rPr>
      </w:pPr>
      <w:r w:rsidRPr="00015B11">
        <w:rPr>
          <w:rFonts w:ascii="Century Gothic" w:eastAsia="Century Gothic" w:hAnsi="Century Gothic" w:cs="Century Gothic"/>
          <w:b/>
          <w:bCs/>
          <w:sz w:val="20"/>
          <w:szCs w:val="20"/>
          <w:lang w:val="en-US"/>
        </w:rPr>
        <w:t xml:space="preserve">For João Jesus, Head of Sustainability and Operations at </w:t>
      </w:r>
      <w:proofErr w:type="spellStart"/>
      <w:r w:rsidRPr="00015B11">
        <w:rPr>
          <w:rFonts w:ascii="Century Gothic" w:eastAsia="Century Gothic" w:hAnsi="Century Gothic" w:cs="Century Gothic"/>
          <w:b/>
          <w:bCs/>
          <w:sz w:val="20"/>
          <w:szCs w:val="20"/>
          <w:lang w:val="en-US"/>
        </w:rPr>
        <w:t>Nhood</w:t>
      </w:r>
      <w:proofErr w:type="spellEnd"/>
      <w:r w:rsidRPr="00015B11">
        <w:rPr>
          <w:rFonts w:ascii="Century Gothic" w:eastAsia="Century Gothic" w:hAnsi="Century Gothic" w:cs="Century Gothic"/>
          <w:sz w:val="20"/>
          <w:szCs w:val="20"/>
          <w:lang w:val="en-US"/>
        </w:rPr>
        <w:t xml:space="preserve">, “this is an important recognition for Alegro Setúbal's sustainability journey, standing out as an example in Portugal's retail sector.” And he adds, “furthermore, it is also an acknowledgment of </w:t>
      </w:r>
      <w:proofErr w:type="spellStart"/>
      <w:r w:rsidRPr="00015B11">
        <w:rPr>
          <w:rFonts w:ascii="Century Gothic" w:eastAsia="Century Gothic" w:hAnsi="Century Gothic" w:cs="Century Gothic"/>
          <w:sz w:val="20"/>
          <w:szCs w:val="20"/>
          <w:lang w:val="en-US"/>
        </w:rPr>
        <w:t>Nhood's</w:t>
      </w:r>
      <w:proofErr w:type="spellEnd"/>
      <w:r w:rsidRPr="00015B11">
        <w:rPr>
          <w:rFonts w:ascii="Century Gothic" w:eastAsia="Century Gothic" w:hAnsi="Century Gothic" w:cs="Century Gothic"/>
          <w:sz w:val="20"/>
          <w:szCs w:val="20"/>
          <w:lang w:val="en-US"/>
        </w:rPr>
        <w:t xml:space="preserve"> commitment to implementing management practices that respect circular economy principles, by investing in renewable energy sources, reducing resource consumption, and recovering materials. We will continue to lead by example, promoting significant changes that benefit both the environment and the communities where we operate.”</w:t>
      </w:r>
    </w:p>
    <w:p w14:paraId="6D720C10" w14:textId="77777777" w:rsidR="00015B11" w:rsidRPr="00015B11" w:rsidRDefault="00015B11" w:rsidP="00015B11">
      <w:pPr>
        <w:spacing w:after="0" w:line="240" w:lineRule="auto"/>
        <w:jc w:val="both"/>
        <w:rPr>
          <w:rFonts w:ascii="Century Gothic" w:eastAsia="Century Gothic" w:hAnsi="Century Gothic" w:cs="Century Gothic"/>
          <w:sz w:val="20"/>
          <w:szCs w:val="20"/>
          <w:lang w:val="en-US"/>
        </w:rPr>
      </w:pPr>
    </w:p>
    <w:p w14:paraId="5FB628A5" w14:textId="4B45A5EB" w:rsidR="00092D3A" w:rsidRPr="00015B11" w:rsidRDefault="00015B11" w:rsidP="00015B11">
      <w:pPr>
        <w:spacing w:after="0" w:line="240" w:lineRule="auto"/>
        <w:jc w:val="both"/>
        <w:rPr>
          <w:rFonts w:ascii="Century Gothic" w:eastAsia="Century Gothic" w:hAnsi="Century Gothic" w:cs="Century Gothic"/>
          <w:sz w:val="20"/>
          <w:szCs w:val="20"/>
          <w:lang w:val="en-US"/>
        </w:rPr>
      </w:pPr>
      <w:proofErr w:type="spellStart"/>
      <w:r w:rsidRPr="00015B11">
        <w:rPr>
          <w:rFonts w:ascii="Century Gothic" w:eastAsia="Century Gothic" w:hAnsi="Century Gothic" w:cs="Century Gothic"/>
          <w:sz w:val="20"/>
          <w:szCs w:val="20"/>
          <w:lang w:val="en-US"/>
        </w:rPr>
        <w:t>eCIRCULAR</w:t>
      </w:r>
      <w:proofErr w:type="spellEnd"/>
      <w:r w:rsidRPr="00015B11">
        <w:rPr>
          <w:rFonts w:ascii="Century Gothic" w:eastAsia="Century Gothic" w:hAnsi="Century Gothic" w:cs="Century Gothic"/>
          <w:sz w:val="20"/>
          <w:szCs w:val="20"/>
          <w:lang w:val="en-US"/>
        </w:rPr>
        <w:t xml:space="preserve">, developed by ADENE, is a system for organizations to drive actions and achieve practical, evolving results in circular economy practices. It is a comprehensive model applicable to multiple sectors of society. It allows for the evaluation of companies' and other entities' circularity performance by auditors, issuing a rating document. This rating document includes the score obtained – from A+ (the best) to F (the worst) – and indications of possible improvements. </w:t>
      </w:r>
      <w:proofErr w:type="spellStart"/>
      <w:r w:rsidRPr="00015B11">
        <w:rPr>
          <w:rFonts w:ascii="Century Gothic" w:eastAsia="Century Gothic" w:hAnsi="Century Gothic" w:cs="Century Gothic"/>
          <w:sz w:val="20"/>
          <w:szCs w:val="20"/>
          <w:lang w:val="en-US"/>
        </w:rPr>
        <w:t>eCIRCULAR</w:t>
      </w:r>
      <w:proofErr w:type="spellEnd"/>
      <w:r w:rsidRPr="00015B11">
        <w:rPr>
          <w:rFonts w:ascii="Century Gothic" w:eastAsia="Century Gothic" w:hAnsi="Century Gothic" w:cs="Century Gothic"/>
          <w:sz w:val="20"/>
          <w:szCs w:val="20"/>
          <w:lang w:val="en-US"/>
        </w:rPr>
        <w:t xml:space="preserve"> accelerates the transition to a circular economy.</w:t>
      </w:r>
    </w:p>
    <w:p w14:paraId="2D6076AE" w14:textId="77777777" w:rsidR="003A54F2" w:rsidRPr="00015B11" w:rsidRDefault="003A54F2">
      <w:pPr>
        <w:spacing w:after="0" w:line="240" w:lineRule="auto"/>
        <w:jc w:val="center"/>
        <w:rPr>
          <w:rFonts w:ascii="Century Gothic" w:eastAsia="Century Gothic" w:hAnsi="Century Gothic" w:cs="Century Gothic"/>
          <w:b/>
          <w:sz w:val="28"/>
          <w:szCs w:val="28"/>
          <w:lang w:val="en-US"/>
        </w:rPr>
      </w:pPr>
    </w:p>
    <w:p w14:paraId="13FFF60C" w14:textId="77777777" w:rsidR="004414EF" w:rsidRDefault="004414EF">
      <w:pPr>
        <w:spacing w:after="0" w:line="240" w:lineRule="auto"/>
        <w:jc w:val="both"/>
        <w:rPr>
          <w:rFonts w:ascii="Century Gothic" w:eastAsia="Century Gothic" w:hAnsi="Century Gothic" w:cs="Century Gothic"/>
          <w:sz w:val="20"/>
          <w:szCs w:val="20"/>
        </w:rPr>
      </w:pPr>
    </w:p>
    <w:p w14:paraId="365D5076" w14:textId="77777777" w:rsidR="0068208B" w:rsidRDefault="00EC7236">
      <w:pPr>
        <w:spacing w:after="0" w:line="240" w:lineRule="auto"/>
        <w:jc w:val="both"/>
        <w:rPr>
          <w:rFonts w:ascii="Century Gothic" w:eastAsia="Century Gothic" w:hAnsi="Century Gothic" w:cs="Century Gothic"/>
          <w:b/>
          <w:sz w:val="16"/>
          <w:szCs w:val="16"/>
          <w:u w:val="single"/>
        </w:rPr>
      </w:pPr>
      <w:r>
        <w:rPr>
          <w:rFonts w:ascii="Century Gothic" w:eastAsia="Century Gothic" w:hAnsi="Century Gothic" w:cs="Century Gothic"/>
          <w:b/>
          <w:sz w:val="16"/>
          <w:szCs w:val="16"/>
          <w:u w:val="single"/>
        </w:rPr>
        <w:t xml:space="preserve">Sobre a </w:t>
      </w:r>
      <w:proofErr w:type="spellStart"/>
      <w:r>
        <w:rPr>
          <w:rFonts w:ascii="Century Gothic" w:eastAsia="Century Gothic" w:hAnsi="Century Gothic" w:cs="Century Gothic"/>
          <w:b/>
          <w:sz w:val="16"/>
          <w:szCs w:val="16"/>
          <w:u w:val="single"/>
        </w:rPr>
        <w:t>Nhood</w:t>
      </w:r>
      <w:proofErr w:type="spellEnd"/>
    </w:p>
    <w:p w14:paraId="1F36618E" w14:textId="7334F04D" w:rsidR="004142CC" w:rsidRPr="004142CC" w:rsidRDefault="004142CC" w:rsidP="004142CC">
      <w:pPr>
        <w:jc w:val="both"/>
        <w:rPr>
          <w:rFonts w:ascii="Century Gothic" w:eastAsia="Century Gothic" w:hAnsi="Century Gothic" w:cs="Century Gothic"/>
          <w:sz w:val="16"/>
          <w:szCs w:val="16"/>
        </w:rPr>
      </w:pPr>
      <w:bookmarkStart w:id="0" w:name="_heading=h.gjdgxs" w:colFirst="0" w:colLast="0"/>
      <w:bookmarkEnd w:id="0"/>
      <w:r w:rsidRPr="004142CC">
        <w:rPr>
          <w:rFonts w:ascii="Century Gothic" w:eastAsia="Century Gothic" w:hAnsi="Century Gothic" w:cs="Century Gothic"/>
          <w:sz w:val="16"/>
          <w:szCs w:val="16"/>
        </w:rPr>
        <w:t xml:space="preserve">A </w:t>
      </w:r>
      <w:proofErr w:type="spellStart"/>
      <w:r w:rsidRPr="004142CC">
        <w:rPr>
          <w:rFonts w:ascii="Century Gothic" w:eastAsia="Century Gothic" w:hAnsi="Century Gothic" w:cs="Century Gothic"/>
          <w:sz w:val="16"/>
          <w:szCs w:val="16"/>
        </w:rPr>
        <w:t>Nhood</w:t>
      </w:r>
      <w:proofErr w:type="spellEnd"/>
      <w:r w:rsidRPr="004142CC">
        <w:rPr>
          <w:rFonts w:ascii="Century Gothic" w:eastAsia="Century Gothic" w:hAnsi="Century Gothic" w:cs="Century Gothic"/>
          <w:sz w:val="16"/>
          <w:szCs w:val="16"/>
        </w:rPr>
        <w:t xml:space="preserve"> é uma plataforma de soluções imobiliárias para projetos mistos, detida pela Associação Familiar </w:t>
      </w:r>
      <w:proofErr w:type="spellStart"/>
      <w:r w:rsidRPr="004142CC">
        <w:rPr>
          <w:rFonts w:ascii="Century Gothic" w:eastAsia="Century Gothic" w:hAnsi="Century Gothic" w:cs="Century Gothic"/>
          <w:sz w:val="16"/>
          <w:szCs w:val="16"/>
        </w:rPr>
        <w:t>Mulliez</w:t>
      </w:r>
      <w:proofErr w:type="spellEnd"/>
      <w:r w:rsidRPr="004142CC">
        <w:rPr>
          <w:rFonts w:ascii="Century Gothic" w:eastAsia="Century Gothic" w:hAnsi="Century Gothic" w:cs="Century Gothic"/>
          <w:sz w:val="16"/>
          <w:szCs w:val="16"/>
        </w:rPr>
        <w:t xml:space="preserve"> (AFM), que atua na regeneração imobiliária urbana com triplo impacto positivo: social, ambiental, económico (Pessoas, Planeta, Proveitos). A sua expertise inclui a dinamização, operação e comercialização de ativos de uso misto, através de serviços como </w:t>
      </w:r>
      <w:proofErr w:type="spellStart"/>
      <w:r w:rsidRPr="004142CC">
        <w:rPr>
          <w:rFonts w:ascii="Century Gothic" w:eastAsia="Century Gothic" w:hAnsi="Century Gothic" w:cs="Century Gothic"/>
          <w:sz w:val="16"/>
          <w:szCs w:val="16"/>
        </w:rPr>
        <w:t>Asset</w:t>
      </w:r>
      <w:proofErr w:type="spellEnd"/>
      <w:r w:rsidRPr="004142CC">
        <w:rPr>
          <w:rFonts w:ascii="Century Gothic" w:eastAsia="Century Gothic" w:hAnsi="Century Gothic" w:cs="Century Gothic"/>
          <w:sz w:val="16"/>
          <w:szCs w:val="16"/>
        </w:rPr>
        <w:t xml:space="preserve"> Management, </w:t>
      </w:r>
      <w:proofErr w:type="spellStart"/>
      <w:r w:rsidRPr="004142CC">
        <w:rPr>
          <w:rFonts w:ascii="Century Gothic" w:eastAsia="Century Gothic" w:hAnsi="Century Gothic" w:cs="Century Gothic"/>
          <w:sz w:val="16"/>
          <w:szCs w:val="16"/>
        </w:rPr>
        <w:t>Development</w:t>
      </w:r>
      <w:proofErr w:type="spellEnd"/>
      <w:r w:rsidRPr="004142CC">
        <w:rPr>
          <w:rFonts w:ascii="Century Gothic" w:eastAsia="Century Gothic" w:hAnsi="Century Gothic" w:cs="Century Gothic"/>
          <w:sz w:val="16"/>
          <w:szCs w:val="16"/>
        </w:rPr>
        <w:t xml:space="preserve">, Property Management, Leasing e </w:t>
      </w:r>
      <w:proofErr w:type="spellStart"/>
      <w:r w:rsidRPr="004142CC">
        <w:rPr>
          <w:rFonts w:ascii="Century Gothic" w:eastAsia="Century Gothic" w:hAnsi="Century Gothic" w:cs="Century Gothic"/>
          <w:sz w:val="16"/>
          <w:szCs w:val="16"/>
        </w:rPr>
        <w:t>Tenant</w:t>
      </w:r>
      <w:proofErr w:type="spellEnd"/>
      <w:r w:rsidRPr="004142CC">
        <w:rPr>
          <w:rFonts w:ascii="Century Gothic" w:eastAsia="Century Gothic" w:hAnsi="Century Gothic" w:cs="Century Gothic"/>
          <w:sz w:val="16"/>
          <w:szCs w:val="16"/>
        </w:rPr>
        <w:t xml:space="preserve"> </w:t>
      </w:r>
      <w:proofErr w:type="spellStart"/>
      <w:r w:rsidRPr="004142CC">
        <w:rPr>
          <w:rFonts w:ascii="Century Gothic" w:eastAsia="Century Gothic" w:hAnsi="Century Gothic" w:cs="Century Gothic"/>
          <w:sz w:val="16"/>
          <w:szCs w:val="16"/>
        </w:rPr>
        <w:t>Representation</w:t>
      </w:r>
      <w:proofErr w:type="spellEnd"/>
      <w:r w:rsidRPr="004142CC">
        <w:rPr>
          <w:rFonts w:ascii="Century Gothic" w:eastAsia="Century Gothic" w:hAnsi="Century Gothic" w:cs="Century Gothic"/>
          <w:sz w:val="16"/>
          <w:szCs w:val="16"/>
        </w:rPr>
        <w:t xml:space="preserve">. Partilha uma visão de cidade mais resiliente e ecológica, na qual os espaços assumem diferentes funções e usos de proximidade (comércio local, habitação, escritórios, urbanismo de transição e terceiros locais). A </w:t>
      </w:r>
      <w:proofErr w:type="spellStart"/>
      <w:r w:rsidRPr="004142CC">
        <w:rPr>
          <w:rFonts w:ascii="Century Gothic" w:eastAsia="Century Gothic" w:hAnsi="Century Gothic" w:cs="Century Gothic"/>
          <w:sz w:val="16"/>
          <w:szCs w:val="16"/>
        </w:rPr>
        <w:t>Nhood</w:t>
      </w:r>
      <w:proofErr w:type="spellEnd"/>
      <w:r w:rsidRPr="004142CC">
        <w:rPr>
          <w:rFonts w:ascii="Century Gothic" w:eastAsia="Century Gothic" w:hAnsi="Century Gothic" w:cs="Century Gothic"/>
          <w:sz w:val="16"/>
          <w:szCs w:val="16"/>
        </w:rPr>
        <w:t xml:space="preserve"> reúne o know-how de 1029 especialistas em 11 países na Europa e África, para regenerar e transformar de forma sustentável um portfólio inicial de quase 300 espaços comerciais, 30.000 unidades habitacionais e 40 projetos de desenvolvimento. Em Portugal, a </w:t>
      </w:r>
      <w:proofErr w:type="spellStart"/>
      <w:r w:rsidRPr="004142CC">
        <w:rPr>
          <w:rFonts w:ascii="Century Gothic" w:eastAsia="Century Gothic" w:hAnsi="Century Gothic" w:cs="Century Gothic"/>
          <w:sz w:val="16"/>
          <w:szCs w:val="16"/>
        </w:rPr>
        <w:t>Nhood</w:t>
      </w:r>
      <w:proofErr w:type="spellEnd"/>
      <w:r w:rsidRPr="004142CC">
        <w:rPr>
          <w:rFonts w:ascii="Century Gothic" w:eastAsia="Century Gothic" w:hAnsi="Century Gothic" w:cs="Century Gothic"/>
          <w:sz w:val="16"/>
          <w:szCs w:val="16"/>
        </w:rPr>
        <w:t xml:space="preserve"> gere mais de 700M€ de valor de ativos. </w:t>
      </w:r>
    </w:p>
    <w:sectPr w:rsidR="004142CC" w:rsidRPr="004142CC">
      <w:headerReference w:type="default" r:id="rId12"/>
      <w:footerReference w:type="default" r:id="rId13"/>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77BE7" w14:textId="77777777" w:rsidR="001745F7" w:rsidRDefault="001745F7">
      <w:pPr>
        <w:spacing w:after="0" w:line="240" w:lineRule="auto"/>
      </w:pPr>
      <w:r>
        <w:separator/>
      </w:r>
    </w:p>
  </w:endnote>
  <w:endnote w:type="continuationSeparator" w:id="0">
    <w:p w14:paraId="66B3FFBE" w14:textId="77777777" w:rsidR="001745F7" w:rsidRDefault="001745F7">
      <w:pPr>
        <w:spacing w:after="0" w:line="240" w:lineRule="auto"/>
      </w:pPr>
      <w:r>
        <w:continuationSeparator/>
      </w:r>
    </w:p>
  </w:endnote>
  <w:endnote w:type="continuationNotice" w:id="1">
    <w:p w14:paraId="67A47AE6" w14:textId="77777777" w:rsidR="001745F7" w:rsidRDefault="001745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2BAD4D04-68A8-4A3B-BBDA-6274BD19B673}"/>
    <w:embedBold r:id="rId2" w:fontKey="{CC13AF2A-8086-4303-95D9-8A59FD375BC4}"/>
  </w:font>
  <w:font w:name="Segoe UI">
    <w:panose1 w:val="020B0502040204020203"/>
    <w:charset w:val="00"/>
    <w:family w:val="swiss"/>
    <w:pitch w:val="variable"/>
    <w:sig w:usb0="E4002EFF" w:usb1="C000E47F" w:usb2="00000009" w:usb3="00000000" w:csb0="000001FF" w:csb1="00000000"/>
    <w:embedRegular r:id="rId3" w:fontKey="{ED01582D-9BFD-4F3F-A2A9-0157BC6774F7}"/>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4" w:fontKey="{CBD1E482-1F7F-4FEE-A495-421CA515150D}"/>
    <w:embedItalic r:id="rId5" w:fontKey="{4D4247AA-C3C8-4941-8417-2F387B5EBBA2}"/>
  </w:font>
  <w:font w:name="Century Gothic">
    <w:panose1 w:val="020B0502020202020204"/>
    <w:charset w:val="00"/>
    <w:family w:val="swiss"/>
    <w:pitch w:val="variable"/>
    <w:sig w:usb0="00000287" w:usb1="00000000" w:usb2="00000000" w:usb3="00000000" w:csb0="0000009F" w:csb1="00000000"/>
    <w:embedRegular r:id="rId6" w:fontKey="{0FEE1788-DAA7-490D-AB6D-F2E12FDC432D}"/>
    <w:embedBold r:id="rId7" w:fontKey="{1395FF0D-A468-4621-B6E7-E1741D6B8322}"/>
  </w:font>
  <w:font w:name="Calibri Light">
    <w:panose1 w:val="020F0302020204030204"/>
    <w:charset w:val="00"/>
    <w:family w:val="swiss"/>
    <w:pitch w:val="variable"/>
    <w:sig w:usb0="E4002EFF" w:usb1="C200247B" w:usb2="00000009" w:usb3="00000000" w:csb0="000001FF" w:csb1="00000000"/>
    <w:embedRegular r:id="rId8" w:fontKey="{5546B1B8-5370-4771-91A3-C18E2CA55C3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50042" w14:textId="77777777" w:rsidR="0068208B" w:rsidRDefault="0068208B">
    <w:pPr>
      <w:pBdr>
        <w:top w:val="nil"/>
        <w:left w:val="nil"/>
        <w:bottom w:val="nil"/>
        <w:right w:val="nil"/>
        <w:between w:val="nil"/>
      </w:pBdr>
      <w:tabs>
        <w:tab w:val="center" w:pos="4536"/>
        <w:tab w:val="right" w:pos="9072"/>
      </w:tabs>
      <w:spacing w:after="0" w:line="240" w:lineRule="auto"/>
      <w:jc w:val="center"/>
      <w:rPr>
        <w:color w:val="000000"/>
        <w:sz w:val="20"/>
        <w:szCs w:val="20"/>
      </w:rPr>
    </w:pPr>
  </w:p>
  <w:p w14:paraId="49C7CF93" w14:textId="77777777" w:rsidR="0068208B" w:rsidRDefault="00EC7236">
    <w:pPr>
      <w:pBdr>
        <w:top w:val="nil"/>
        <w:left w:val="nil"/>
        <w:bottom w:val="nil"/>
        <w:right w:val="nil"/>
        <w:between w:val="nil"/>
      </w:pBdr>
      <w:tabs>
        <w:tab w:val="center" w:pos="4536"/>
        <w:tab w:val="right" w:pos="9072"/>
      </w:tabs>
      <w:spacing w:after="0" w:line="240" w:lineRule="auto"/>
      <w:jc w:val="center"/>
      <w:rPr>
        <w:color w:val="000000"/>
        <w:sz w:val="20"/>
        <w:szCs w:val="20"/>
      </w:rPr>
    </w:pPr>
    <w:r>
      <w:rPr>
        <w:color w:val="000000"/>
        <w:sz w:val="20"/>
        <w:szCs w:val="20"/>
      </w:rPr>
      <w:t>Contactos para Imprensa:</w:t>
    </w:r>
  </w:p>
  <w:p w14:paraId="11730DF3" w14:textId="0851F58E" w:rsidR="0068208B" w:rsidRDefault="004414EF">
    <w:pPr>
      <w:pBdr>
        <w:top w:val="nil"/>
        <w:left w:val="nil"/>
        <w:bottom w:val="nil"/>
        <w:right w:val="nil"/>
        <w:between w:val="nil"/>
      </w:pBdr>
      <w:tabs>
        <w:tab w:val="center" w:pos="4536"/>
        <w:tab w:val="right" w:pos="9072"/>
      </w:tabs>
      <w:spacing w:after="0" w:line="240" w:lineRule="auto"/>
      <w:jc w:val="center"/>
      <w:rPr>
        <w:color w:val="000000"/>
      </w:rPr>
    </w:pPr>
    <w:hyperlink r:id="rId1" w:history="1">
      <w:r w:rsidRPr="00014CBA">
        <w:rPr>
          <w:rStyle w:val="Hiperligao"/>
        </w:rPr>
        <w:t>andre.gerson@gcimedia.pt</w:t>
      </w:r>
    </w:hyperlink>
    <w:r w:rsidR="00EC7236">
      <w:rPr>
        <w:color w:val="000000"/>
      </w:rPr>
      <w:t xml:space="preserve"> | </w:t>
    </w:r>
    <w:hyperlink r:id="rId2" w:history="1">
      <w:r w:rsidRPr="00014CBA">
        <w:rPr>
          <w:rStyle w:val="Hiperligao"/>
        </w:rPr>
        <w:t>vera.rebola@gcimedia.pt</w:t>
      </w:r>
    </w:hyperlink>
    <w:r w:rsidR="00EC7236">
      <w:rPr>
        <w:color w:val="000000"/>
      </w:rPr>
      <w:t xml:space="preserve"> </w:t>
    </w:r>
  </w:p>
  <w:p w14:paraId="05EAEB10" w14:textId="77777777" w:rsidR="0068208B" w:rsidRDefault="00EC7236">
    <w:pPr>
      <w:pBdr>
        <w:top w:val="nil"/>
        <w:left w:val="nil"/>
        <w:bottom w:val="nil"/>
        <w:right w:val="nil"/>
        <w:between w:val="nil"/>
      </w:pBdr>
      <w:tabs>
        <w:tab w:val="center" w:pos="4536"/>
        <w:tab w:val="right" w:pos="9072"/>
      </w:tabs>
      <w:spacing w:after="0" w:line="240" w:lineRule="auto"/>
      <w:jc w:val="center"/>
      <w:rPr>
        <w:color w:val="000000"/>
        <w:sz w:val="20"/>
        <w:szCs w:val="20"/>
      </w:rPr>
    </w:pPr>
    <w:r>
      <w:rPr>
        <w:color w:val="000000"/>
        <w:sz w:val="20"/>
        <w:szCs w:val="20"/>
      </w:rPr>
      <w:t>Tel.: 912 293 131 | 910 960 222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70317" w14:textId="77777777" w:rsidR="001745F7" w:rsidRDefault="001745F7">
      <w:pPr>
        <w:spacing w:after="0" w:line="240" w:lineRule="auto"/>
      </w:pPr>
      <w:r>
        <w:separator/>
      </w:r>
    </w:p>
  </w:footnote>
  <w:footnote w:type="continuationSeparator" w:id="0">
    <w:p w14:paraId="1312EAA5" w14:textId="77777777" w:rsidR="001745F7" w:rsidRDefault="001745F7">
      <w:pPr>
        <w:spacing w:after="0" w:line="240" w:lineRule="auto"/>
      </w:pPr>
      <w:r>
        <w:continuationSeparator/>
      </w:r>
    </w:p>
  </w:footnote>
  <w:footnote w:type="continuationNotice" w:id="1">
    <w:p w14:paraId="0FC687C8" w14:textId="77777777" w:rsidR="001745F7" w:rsidRDefault="001745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4D667" w14:textId="3EFF64D7" w:rsidR="0068208B" w:rsidRDefault="00EC7236">
    <w:pPr>
      <w:pBdr>
        <w:top w:val="nil"/>
        <w:left w:val="nil"/>
        <w:bottom w:val="nil"/>
        <w:right w:val="nil"/>
        <w:between w:val="nil"/>
      </w:pBdr>
      <w:tabs>
        <w:tab w:val="center" w:pos="4536"/>
        <w:tab w:val="right" w:pos="9072"/>
      </w:tabs>
      <w:spacing w:after="0" w:line="240" w:lineRule="auto"/>
      <w:jc w:val="right"/>
      <w:rPr>
        <w:color w:val="000000"/>
      </w:rPr>
    </w:pPr>
    <w:r>
      <w:rPr>
        <w:noProof/>
        <w:color w:val="000000"/>
      </w:rPr>
      <w:drawing>
        <wp:inline distT="0" distB="0" distL="0" distR="0" wp14:anchorId="76661C51" wp14:editId="46594643">
          <wp:extent cx="1902794" cy="962723"/>
          <wp:effectExtent l="0" t="0" r="0" b="0"/>
          <wp:docPr id="3" name="image1.jpg" descr="Uma imagem com texto, ClipArt&#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jpg" descr="Uma imagem com texto, ClipArt&#10;&#10;Descrição gerada automaticamente"/>
                  <pic:cNvPicPr preferRelativeResize="0"/>
                </pic:nvPicPr>
                <pic:blipFill>
                  <a:blip r:embed="rId1"/>
                  <a:srcRect/>
                  <a:stretch>
                    <a:fillRect/>
                  </a:stretch>
                </pic:blipFill>
                <pic:spPr>
                  <a:xfrm>
                    <a:off x="0" y="0"/>
                    <a:ext cx="1902794" cy="962723"/>
                  </a:xfrm>
                  <a:prstGeom prst="rect">
                    <a:avLst/>
                  </a:prstGeom>
                  <a:ln/>
                </pic:spPr>
              </pic:pic>
            </a:graphicData>
          </a:graphic>
        </wp:inline>
      </w:drawing>
    </w:r>
    <w:r>
      <w:rPr>
        <w:color w:val="000000"/>
      </w:rPr>
      <w:tab/>
      <w:t xml:space="preserve">       COMUNICADO DE IMPRENSA </w:t>
    </w:r>
    <w:r>
      <w:rPr>
        <w:color w:val="000000"/>
      </w:rPr>
      <w:tab/>
      <w:t xml:space="preserve">LISBOA, </w:t>
    </w:r>
    <w:r w:rsidR="00087697">
      <w:rPr>
        <w:color w:val="000000"/>
      </w:rPr>
      <w:t>23</w:t>
    </w:r>
    <w:r>
      <w:rPr>
        <w:color w:val="000000"/>
      </w:rPr>
      <w:t>.</w:t>
    </w:r>
    <w:r w:rsidR="003A54F2">
      <w:rPr>
        <w:color w:val="000000"/>
      </w:rPr>
      <w:t>01</w:t>
    </w:r>
    <w:r>
      <w:rPr>
        <w:color w:val="000000"/>
      </w:rPr>
      <w:t>.20</w:t>
    </w:r>
    <w:r w:rsidR="003A54F2">
      <w:rPr>
        <w:color w:val="000000"/>
      </w:rPr>
      <w:t>25</w:t>
    </w:r>
  </w:p>
  <w:p w14:paraId="13D224EE" w14:textId="77777777" w:rsidR="0068208B" w:rsidRDefault="0068208B">
    <w:pPr>
      <w:pBdr>
        <w:top w:val="nil"/>
        <w:left w:val="nil"/>
        <w:bottom w:val="nil"/>
        <w:right w:val="nil"/>
        <w:between w:val="nil"/>
      </w:pBdr>
      <w:tabs>
        <w:tab w:val="center" w:pos="4536"/>
        <w:tab w:val="right" w:pos="9072"/>
      </w:tabs>
      <w:spacing w:after="0" w:line="240" w:lineRule="auto"/>
      <w:rPr>
        <w:color w:val="000000"/>
      </w:rPr>
    </w:pPr>
  </w:p>
  <w:p w14:paraId="7FDF8D6F" w14:textId="77777777" w:rsidR="0068208B" w:rsidRDefault="0068208B">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65B42"/>
    <w:multiLevelType w:val="hybridMultilevel"/>
    <w:tmpl w:val="5E52F1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293638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08B"/>
    <w:rsid w:val="00015B11"/>
    <w:rsid w:val="00021E03"/>
    <w:rsid w:val="00047D57"/>
    <w:rsid w:val="00074D4F"/>
    <w:rsid w:val="0008595C"/>
    <w:rsid w:val="00087697"/>
    <w:rsid w:val="00092D3A"/>
    <w:rsid w:val="000B0F76"/>
    <w:rsid w:val="00106334"/>
    <w:rsid w:val="001077EA"/>
    <w:rsid w:val="001221AD"/>
    <w:rsid w:val="0014634D"/>
    <w:rsid w:val="00152485"/>
    <w:rsid w:val="00166D56"/>
    <w:rsid w:val="00172428"/>
    <w:rsid w:val="001745F7"/>
    <w:rsid w:val="001D4724"/>
    <w:rsid w:val="001F52CD"/>
    <w:rsid w:val="00240785"/>
    <w:rsid w:val="00283A4B"/>
    <w:rsid w:val="002B78A6"/>
    <w:rsid w:val="002B7ADD"/>
    <w:rsid w:val="002F50AA"/>
    <w:rsid w:val="00376955"/>
    <w:rsid w:val="003A54F2"/>
    <w:rsid w:val="003B3AF3"/>
    <w:rsid w:val="003F0C96"/>
    <w:rsid w:val="00401D84"/>
    <w:rsid w:val="004142CC"/>
    <w:rsid w:val="00420588"/>
    <w:rsid w:val="00425E63"/>
    <w:rsid w:val="00432A60"/>
    <w:rsid w:val="004414EF"/>
    <w:rsid w:val="004669BE"/>
    <w:rsid w:val="00481200"/>
    <w:rsid w:val="00492C33"/>
    <w:rsid w:val="004A5A4C"/>
    <w:rsid w:val="004C24CF"/>
    <w:rsid w:val="004D1C90"/>
    <w:rsid w:val="0052492B"/>
    <w:rsid w:val="00554E7D"/>
    <w:rsid w:val="005917D6"/>
    <w:rsid w:val="00601DF4"/>
    <w:rsid w:val="0063228A"/>
    <w:rsid w:val="006557C0"/>
    <w:rsid w:val="00665698"/>
    <w:rsid w:val="0068208B"/>
    <w:rsid w:val="006C560C"/>
    <w:rsid w:val="006D2F73"/>
    <w:rsid w:val="006F3E83"/>
    <w:rsid w:val="007100A0"/>
    <w:rsid w:val="007149F8"/>
    <w:rsid w:val="00744E55"/>
    <w:rsid w:val="00750D9D"/>
    <w:rsid w:val="007543D9"/>
    <w:rsid w:val="00756FDF"/>
    <w:rsid w:val="0076704C"/>
    <w:rsid w:val="00822CBA"/>
    <w:rsid w:val="0084401C"/>
    <w:rsid w:val="00856080"/>
    <w:rsid w:val="00867019"/>
    <w:rsid w:val="00892CCF"/>
    <w:rsid w:val="008B7482"/>
    <w:rsid w:val="00901C4B"/>
    <w:rsid w:val="00981269"/>
    <w:rsid w:val="00A24A22"/>
    <w:rsid w:val="00A40382"/>
    <w:rsid w:val="00A8078D"/>
    <w:rsid w:val="00AE53FE"/>
    <w:rsid w:val="00B13C95"/>
    <w:rsid w:val="00B21266"/>
    <w:rsid w:val="00B42F36"/>
    <w:rsid w:val="00B56653"/>
    <w:rsid w:val="00BB5D88"/>
    <w:rsid w:val="00C042FD"/>
    <w:rsid w:val="00C16FB5"/>
    <w:rsid w:val="00C21B0B"/>
    <w:rsid w:val="00C302B9"/>
    <w:rsid w:val="00C43C8C"/>
    <w:rsid w:val="00C559C4"/>
    <w:rsid w:val="00C76801"/>
    <w:rsid w:val="00C7774B"/>
    <w:rsid w:val="00C81A05"/>
    <w:rsid w:val="00CA1186"/>
    <w:rsid w:val="00CA7F5D"/>
    <w:rsid w:val="00D24D27"/>
    <w:rsid w:val="00D60550"/>
    <w:rsid w:val="00E34C9D"/>
    <w:rsid w:val="00E52D13"/>
    <w:rsid w:val="00E77B1B"/>
    <w:rsid w:val="00E95AAB"/>
    <w:rsid w:val="00EC7236"/>
    <w:rsid w:val="00F43BA3"/>
    <w:rsid w:val="00F44182"/>
    <w:rsid w:val="00F44732"/>
    <w:rsid w:val="00F93492"/>
    <w:rsid w:val="00F968D2"/>
    <w:rsid w:val="00FF2C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0FAB1"/>
  <w15:docId w15:val="{8B449379-1BFC-47AB-A44C-39B019AD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Cabealho">
    <w:name w:val="header"/>
    <w:basedOn w:val="Normal"/>
    <w:link w:val="CabealhoCarter"/>
    <w:uiPriority w:val="99"/>
    <w:unhideWhenUsed/>
    <w:rsid w:val="00D93ED6"/>
    <w:pPr>
      <w:tabs>
        <w:tab w:val="center" w:pos="4536"/>
        <w:tab w:val="right" w:pos="9072"/>
      </w:tabs>
      <w:spacing w:after="0" w:line="240" w:lineRule="auto"/>
    </w:pPr>
  </w:style>
  <w:style w:type="character" w:customStyle="1" w:styleId="CabealhoCarter">
    <w:name w:val="Cabeçalho Caráter"/>
    <w:basedOn w:val="Tipodeletrapredefinidodopargrafo"/>
    <w:link w:val="Cabealho"/>
    <w:uiPriority w:val="99"/>
    <w:rsid w:val="00D93ED6"/>
  </w:style>
  <w:style w:type="paragraph" w:styleId="Rodap">
    <w:name w:val="footer"/>
    <w:basedOn w:val="Normal"/>
    <w:link w:val="RodapCarter"/>
    <w:uiPriority w:val="99"/>
    <w:unhideWhenUsed/>
    <w:rsid w:val="00D93ED6"/>
    <w:pPr>
      <w:tabs>
        <w:tab w:val="center" w:pos="4536"/>
        <w:tab w:val="right" w:pos="9072"/>
      </w:tabs>
      <w:spacing w:after="0" w:line="240" w:lineRule="auto"/>
    </w:pPr>
  </w:style>
  <w:style w:type="character" w:customStyle="1" w:styleId="RodapCarter">
    <w:name w:val="Rodapé Caráter"/>
    <w:basedOn w:val="Tipodeletrapredefinidodopargrafo"/>
    <w:link w:val="Rodap"/>
    <w:uiPriority w:val="99"/>
    <w:rsid w:val="00D93ED6"/>
  </w:style>
  <w:style w:type="paragraph" w:styleId="Textodebalo">
    <w:name w:val="Balloon Text"/>
    <w:basedOn w:val="Normal"/>
    <w:link w:val="TextodebaloCarter"/>
    <w:uiPriority w:val="99"/>
    <w:semiHidden/>
    <w:unhideWhenUsed/>
    <w:rsid w:val="00DE3BB8"/>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DE3BB8"/>
    <w:rPr>
      <w:rFonts w:ascii="Segoe UI" w:hAnsi="Segoe UI" w:cs="Segoe UI"/>
      <w:sz w:val="18"/>
      <w:szCs w:val="18"/>
    </w:rPr>
  </w:style>
  <w:style w:type="table" w:styleId="TabelacomGrelha">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ucune">
    <w:name w:val="Aucune"/>
    <w:rsid w:val="00216DA9"/>
  </w:style>
  <w:style w:type="paragraph" w:customStyle="1" w:styleId="gmail-p5">
    <w:name w:val="gmail-p5"/>
    <w:rsid w:val="00216DA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customStyle="1" w:styleId="gmail-p4">
    <w:name w:val="gmail-p4"/>
    <w:rsid w:val="00617EB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character" w:styleId="Refdecomentrio">
    <w:name w:val="annotation reference"/>
    <w:basedOn w:val="Tipodeletrapredefinidodopargrafo"/>
    <w:uiPriority w:val="99"/>
    <w:semiHidden/>
    <w:unhideWhenUsed/>
    <w:rsid w:val="004E2724"/>
    <w:rPr>
      <w:sz w:val="16"/>
      <w:szCs w:val="16"/>
    </w:rPr>
  </w:style>
  <w:style w:type="paragraph" w:styleId="Textodecomentrio">
    <w:name w:val="annotation text"/>
    <w:basedOn w:val="Normal"/>
    <w:link w:val="TextodecomentrioCarter"/>
    <w:uiPriority w:val="99"/>
    <w:unhideWhenUsed/>
    <w:rsid w:val="004E2724"/>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4E2724"/>
    <w:rPr>
      <w:sz w:val="20"/>
      <w:szCs w:val="20"/>
    </w:rPr>
  </w:style>
  <w:style w:type="paragraph" w:styleId="Assuntodecomentrio">
    <w:name w:val="annotation subject"/>
    <w:basedOn w:val="Textodecomentrio"/>
    <w:next w:val="Textodecomentrio"/>
    <w:link w:val="AssuntodecomentrioCarter"/>
    <w:uiPriority w:val="99"/>
    <w:semiHidden/>
    <w:unhideWhenUsed/>
    <w:rsid w:val="004E2724"/>
    <w:rPr>
      <w:b/>
      <w:bCs/>
    </w:rPr>
  </w:style>
  <w:style w:type="character" w:customStyle="1" w:styleId="AssuntodecomentrioCarter">
    <w:name w:val="Assunto de comentário Caráter"/>
    <w:basedOn w:val="TextodecomentrioCarter"/>
    <w:link w:val="Assuntodecomentrio"/>
    <w:uiPriority w:val="99"/>
    <w:semiHidden/>
    <w:rsid w:val="004E2724"/>
    <w:rPr>
      <w:b/>
      <w:bCs/>
      <w:sz w:val="20"/>
      <w:szCs w:val="20"/>
    </w:rPr>
  </w:style>
  <w:style w:type="paragraph" w:customStyle="1" w:styleId="paragraph">
    <w:name w:val="paragraph"/>
    <w:basedOn w:val="Normal"/>
    <w:rsid w:val="00164D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Tipodeletrapredefinidodopargrafo"/>
    <w:rsid w:val="00164DB2"/>
  </w:style>
  <w:style w:type="character" w:customStyle="1" w:styleId="eop">
    <w:name w:val="eop"/>
    <w:basedOn w:val="Tipodeletrapredefinidodopargrafo"/>
    <w:rsid w:val="00164DB2"/>
  </w:style>
  <w:style w:type="paragraph" w:styleId="NormalWeb">
    <w:name w:val="Normal (Web)"/>
    <w:basedOn w:val="Normal"/>
    <w:uiPriority w:val="99"/>
    <w:unhideWhenUsed/>
    <w:rsid w:val="00164DB2"/>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Tipodeletrapredefinidodopargrafo"/>
    <w:uiPriority w:val="22"/>
    <w:qFormat/>
    <w:rsid w:val="00617698"/>
    <w:rPr>
      <w:b/>
      <w:bCs/>
    </w:rPr>
  </w:style>
  <w:style w:type="paragraph" w:styleId="PargrafodaLista">
    <w:name w:val="List Paragraph"/>
    <w:basedOn w:val="Normal"/>
    <w:uiPriority w:val="34"/>
    <w:qFormat/>
    <w:rsid w:val="00617698"/>
    <w:pPr>
      <w:ind w:left="720"/>
      <w:contextualSpacing/>
    </w:pPr>
  </w:style>
  <w:style w:type="character" w:styleId="Hiperligao">
    <w:name w:val="Hyperlink"/>
    <w:basedOn w:val="Tipodeletrapredefinidodopargrafo"/>
    <w:uiPriority w:val="99"/>
    <w:unhideWhenUsed/>
    <w:rsid w:val="00AC1C7D"/>
    <w:rPr>
      <w:color w:val="0563C1"/>
      <w:u w:val="single"/>
    </w:rPr>
  </w:style>
  <w:style w:type="character" w:styleId="MenoNoResolvida">
    <w:name w:val="Unresolved Mention"/>
    <w:basedOn w:val="Tipodeletrapredefinidodopargrafo"/>
    <w:uiPriority w:val="99"/>
    <w:unhideWhenUsed/>
    <w:rsid w:val="00D34088"/>
    <w:rPr>
      <w:color w:val="605E5C"/>
      <w:shd w:val="clear" w:color="auto" w:fill="E1DFDD"/>
    </w:rPr>
  </w:style>
  <w:style w:type="paragraph" w:styleId="Reviso">
    <w:name w:val="Revision"/>
    <w:hidden/>
    <w:uiPriority w:val="99"/>
    <w:semiHidden/>
    <w:rsid w:val="00CE5BA3"/>
    <w:pPr>
      <w:spacing w:after="0" w:line="240" w:lineRule="auto"/>
    </w:pPr>
  </w:style>
  <w:style w:type="character" w:styleId="Hiperligaovisitada">
    <w:name w:val="FollowedHyperlink"/>
    <w:basedOn w:val="Tipodeletrapredefinidodopargrafo"/>
    <w:uiPriority w:val="99"/>
    <w:semiHidden/>
    <w:unhideWhenUsed/>
    <w:rsid w:val="0017590E"/>
    <w:rPr>
      <w:color w:val="954F72" w:themeColor="followedHyperlink"/>
      <w:u w:val="single"/>
    </w:rPr>
  </w:style>
  <w:style w:type="paragraph" w:styleId="HTMLpr-formatado">
    <w:name w:val="HTML Preformatted"/>
    <w:basedOn w:val="Normal"/>
    <w:link w:val="HTMLpr-formatadoCarter"/>
    <w:uiPriority w:val="99"/>
    <w:semiHidden/>
    <w:unhideWhenUsed/>
    <w:rsid w:val="005F0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5F01B9"/>
    <w:rPr>
      <w:rFonts w:ascii="Courier New" w:eastAsia="Times New Roman" w:hAnsi="Courier New" w:cs="Courier New"/>
      <w:sz w:val="20"/>
      <w:szCs w:val="20"/>
      <w:lang w:val="pt-PT" w:eastAsia="pt-PT"/>
    </w:rPr>
  </w:style>
  <w:style w:type="character" w:customStyle="1" w:styleId="y2iqfc">
    <w:name w:val="y2iqfc"/>
    <w:basedOn w:val="Tipodeletrapredefinidodopargrafo"/>
    <w:rsid w:val="005F01B9"/>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480925">
      <w:bodyDiv w:val="1"/>
      <w:marLeft w:val="0"/>
      <w:marRight w:val="0"/>
      <w:marTop w:val="0"/>
      <w:marBottom w:val="0"/>
      <w:divBdr>
        <w:top w:val="none" w:sz="0" w:space="0" w:color="auto"/>
        <w:left w:val="none" w:sz="0" w:space="0" w:color="auto"/>
        <w:bottom w:val="none" w:sz="0" w:space="0" w:color="auto"/>
        <w:right w:val="none" w:sz="0" w:space="0" w:color="auto"/>
      </w:divBdr>
    </w:div>
    <w:div w:id="1601376062">
      <w:bodyDiv w:val="1"/>
      <w:marLeft w:val="0"/>
      <w:marRight w:val="0"/>
      <w:marTop w:val="0"/>
      <w:marBottom w:val="0"/>
      <w:divBdr>
        <w:top w:val="none" w:sz="0" w:space="0" w:color="auto"/>
        <w:left w:val="none" w:sz="0" w:space="0" w:color="auto"/>
        <w:bottom w:val="none" w:sz="0" w:space="0" w:color="auto"/>
        <w:right w:val="none" w:sz="0" w:space="0" w:color="auto"/>
      </w:divBdr>
    </w:div>
    <w:div w:id="16085442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vera.rebola@gcimedia.pt" TargetMode="External"/><Relationship Id="rId1" Type="http://schemas.openxmlformats.org/officeDocument/2006/relationships/hyperlink" Target="mailto:andre.gerson@gcimedia.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lPPpcwtIOSKK50bDlDLD8sdDgw==">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</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bf8dcb-4d8c-47c0-8924-51b6175bee86">
      <Terms xmlns="http://schemas.microsoft.com/office/infopath/2007/PartnerControls"/>
    </lcf76f155ced4ddcb4097134ff3c332f>
    <TaxCatchAll xmlns="8197b069-a4c1-4d4e-8d07-661dc8591ee0" xsi:nil="true"/>
    <_dlc_DocId xmlns="8197b069-a4c1-4d4e-8d07-661dc8591ee0">TVQDDHTMTXFN-1191141381-228892</_dlc_DocId>
    <_dlc_DocIdUrl xmlns="8197b069-a4c1-4d4e-8d07-661dc8591ee0">
      <Url>https://immochan.sharepoint.com/sites/CORP_NI_COM/_layouts/15/DocIdRedir.aspx?ID=TVQDDHTMTXFN-1191141381-228892</Url>
      <Description>TVQDDHTMTXFN-1191141381-228892</Description>
    </_dlc_DocIdUrl>
    <_ip_UnifiedCompliancePolicyUIAction xmlns="http://schemas.microsoft.com/sharepoint/v3" xsi:nil="true"/>
    <PourdiffQG xmlns="e8bf8dcb-4d8c-47c0-8924-51b6175bee86"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D7214009FEA50418051C0F82B801B0A" ma:contentTypeVersion="19" ma:contentTypeDescription="Crée un document." ma:contentTypeScope="" ma:versionID="4466e5cb1a22c8a7f24546fd92feeff9">
  <xsd:schema xmlns:xsd="http://www.w3.org/2001/XMLSchema" xmlns:xs="http://www.w3.org/2001/XMLSchema" xmlns:p="http://schemas.microsoft.com/office/2006/metadata/properties" xmlns:ns1="http://schemas.microsoft.com/sharepoint/v3" xmlns:ns2="8197b069-a4c1-4d4e-8d07-661dc8591ee0" xmlns:ns3="E8BF8DCB-4D8C-47C0-8924-51B6175BEE86" xmlns:ns4="e8bf8dcb-4d8c-47c0-8924-51b6175bee86" targetNamespace="http://schemas.microsoft.com/office/2006/metadata/properties" ma:root="true" ma:fieldsID="e7ae161f31062e22658ba7e26cba9594" ns1:_="" ns2:_="" ns3:_="" ns4:_="">
    <xsd:import namespace="http://schemas.microsoft.com/sharepoint/v3"/>
    <xsd:import namespace="8197b069-a4c1-4d4e-8d07-661dc8591ee0"/>
    <xsd:import namespace="E8BF8DCB-4D8C-47C0-8924-51B6175BEE86"/>
    <xsd:import namespace="e8bf8dcb-4d8c-47c0-8924-51b6175bee8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4:MediaServiceDateTaken"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2:SharedWithUsers" minOccurs="0"/>
                <xsd:element ref="ns2:SharedWithDetails" minOccurs="0"/>
                <xsd:element ref="ns4:MediaServiceLocation" minOccurs="0"/>
                <xsd:element ref="ns4:MediaLengthInSeconds" minOccurs="0"/>
                <xsd:element ref="ns4:lcf76f155ced4ddcb4097134ff3c332f" minOccurs="0"/>
                <xsd:element ref="ns2:TaxCatchAll" minOccurs="0"/>
                <xsd:element ref="ns4:MediaServiceSearchProperties" minOccurs="0"/>
                <xsd:element ref="ns1:_ip_UnifiedCompliancePolicyProperties" minOccurs="0"/>
                <xsd:element ref="ns1:_ip_UnifiedCompliancePolicyUIAction" minOccurs="0"/>
                <xsd:element ref="ns4:PourdiffQG" minOccurs="0"/>
                <xsd:element ref="ns4:MediaServiceObjectDetectorVersion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Propriétés de la stratégie de conformité unifiée" ma:hidden="true" ma:internalName="_ip_UnifiedCompliancePolicyProperties">
      <xsd:simpleType>
        <xsd:restriction base="dms:Note"/>
      </xsd:simpleType>
    </xsd:element>
    <xsd:element name="_ip_UnifiedCompliancePolicyUIAction" ma:index="29"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7b069-a4c1-4d4e-8d07-661dc8591ee0"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Conserver l’ID" ma:description="Conserver l’ID lors de l’ajout." ma:hidden="true" ma:internalName="_dlc_DocIdPersistId" ma:readOnly="true">
      <xsd:simpleType>
        <xsd:restriction base="dms:Boolean"/>
      </xsd:simple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42640D8C-5CEA-4A38-A8B2-E271DA798F0E}" ma:internalName="TaxCatchAll" ma:showField="CatchAllData" ma:web="{8729b3f3-9e2a-4d5d-8b60-dd39d85eb2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BF8DCB-4D8C-47C0-8924-51B6175BEE8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bf8dcb-4d8c-47c0-8924-51b6175bee86" elementFormDefault="qualified">
    <xsd:import namespace="http://schemas.microsoft.com/office/2006/documentManagement/types"/>
    <xsd:import namespace="http://schemas.microsoft.com/office/infopath/2007/PartnerControls"/>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a2fe83a4-0100-4fb8-b150-ea78f21246fc"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PourdiffQG" ma:index="30" nillable="true" ma:displayName="Pour diff QG" ma:format="Dropdown" ma:internalName="PourdiffQG">
      <xsd:simpleType>
        <xsd:restriction base="dms:Choice">
          <xsd:enumeration value="Choix 1"/>
          <xsd:enumeration value="Choix 2"/>
          <xsd:enumeration value="Choix 3"/>
        </xsd:restrictio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3A71B2A-D6BD-4D83-B12D-D6A58C6F371C}">
  <ds:schemaRefs>
    <ds:schemaRef ds:uri="http://schemas.microsoft.com/office/2006/metadata/properties"/>
    <ds:schemaRef ds:uri="http://schemas.microsoft.com/office/infopath/2007/PartnerControls"/>
    <ds:schemaRef ds:uri="74AFAC78-F1CE-4534-9D2A-1B399BD30D83"/>
    <ds:schemaRef ds:uri="ef072091-2986-4038-bf61-d310c98fc161"/>
    <ds:schemaRef ds:uri="0c5c5563-57bb-4a51-8a4d-c206c905e882"/>
  </ds:schemaRefs>
</ds:datastoreItem>
</file>

<file path=customXml/itemProps3.xml><?xml version="1.0" encoding="utf-8"?>
<ds:datastoreItem xmlns:ds="http://schemas.openxmlformats.org/officeDocument/2006/customXml" ds:itemID="{ECDDD835-3512-42CA-B4A0-BF30A1B43885}">
  <ds:schemaRefs>
    <ds:schemaRef ds:uri="http://schemas.microsoft.com/sharepoint/v3/contenttype/forms"/>
  </ds:schemaRefs>
</ds:datastoreItem>
</file>

<file path=customXml/itemProps4.xml><?xml version="1.0" encoding="utf-8"?>
<ds:datastoreItem xmlns:ds="http://schemas.openxmlformats.org/officeDocument/2006/customXml" ds:itemID="{6941711E-4653-43AC-9167-062E21BFD602}"/>
</file>

<file path=customXml/itemProps5.xml><?xml version="1.0" encoding="utf-8"?>
<ds:datastoreItem xmlns:ds="http://schemas.openxmlformats.org/officeDocument/2006/customXml" ds:itemID="{3D6D87E9-DD5C-40F3-9EB0-472D64875575}"/>
</file>

<file path=docProps/app.xml><?xml version="1.0" encoding="utf-8"?>
<Properties xmlns="http://schemas.openxmlformats.org/officeDocument/2006/extended-properties" xmlns:vt="http://schemas.openxmlformats.org/officeDocument/2006/docPropsVTypes">
  <Template>Normal.dotm</Template>
  <TotalTime>92</TotalTime>
  <Pages>1</Pages>
  <Words>538</Words>
  <Characters>2965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LINET, Deborah</dc:creator>
  <cp:lastModifiedBy>BRAZAO, Marta</cp:lastModifiedBy>
  <cp:revision>30</cp:revision>
  <dcterms:created xsi:type="dcterms:W3CDTF">2025-01-20T11:14:00Z</dcterms:created>
  <dcterms:modified xsi:type="dcterms:W3CDTF">2026-01-28T14:47:00Z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1e1c7864-c521-4a4b-87c5-a99b110152b8</vt:lpwstr>
  </property>
  <property fmtid="{D5CDD505-2E9C-101B-9397-08002B2CF9AE}" pid="3" name="MediaServiceImageTags">
    <vt:lpwstr>MediaServiceImageTags</vt:lpwstr>
  </property>
  <property fmtid="{D5CDD505-2E9C-101B-9397-08002B2CF9AE}" pid="4" name="ContentTypeId">
    <vt:lpwstr>0x0101002D7214009FEA50418051C0F82B801B0A</vt:lpwstr>
  </property>
</Properties>
</file>